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F7" w:rsidRDefault="002A44F7" w:rsidP="00973281">
      <w:pPr>
        <w:spacing w:line="360" w:lineRule="auto"/>
        <w:rPr>
          <w:rFonts w:ascii="Arial" w:hAnsi="Arial" w:cs="Arial"/>
          <w:b/>
          <w:sz w:val="28"/>
          <w:szCs w:val="28"/>
        </w:rPr>
      </w:pPr>
    </w:p>
    <w:p w:rsidR="002A44F7" w:rsidRPr="00F21980" w:rsidRDefault="009A106C" w:rsidP="00973281">
      <w:pPr>
        <w:spacing w:line="360" w:lineRule="auto"/>
        <w:rPr>
          <w:rFonts w:ascii="Arial" w:hAnsi="Arial" w:cs="Arial"/>
          <w:b/>
          <w:sz w:val="28"/>
          <w:szCs w:val="28"/>
        </w:rPr>
      </w:pPr>
      <w:r>
        <w:rPr>
          <w:rFonts w:ascii="Arial" w:hAnsi="Arial" w:cs="Arial"/>
          <w:b/>
          <w:sz w:val="28"/>
          <w:szCs w:val="28"/>
        </w:rPr>
        <w:t xml:space="preserve">2.1 </w:t>
      </w:r>
      <w:r w:rsidR="00313A14" w:rsidRPr="00F21980">
        <w:rPr>
          <w:rFonts w:ascii="Arial" w:hAnsi="Arial" w:cs="Arial"/>
          <w:b/>
          <w:sz w:val="28"/>
          <w:szCs w:val="28"/>
        </w:rPr>
        <w:t>Employment</w:t>
      </w:r>
    </w:p>
    <w:p w:rsidR="002A44F7" w:rsidRPr="00973281" w:rsidRDefault="002A44F7" w:rsidP="00973281">
      <w:pPr>
        <w:spacing w:line="360" w:lineRule="auto"/>
        <w:rPr>
          <w:rFonts w:ascii="Arial" w:hAnsi="Arial" w:cs="Arial"/>
          <w:b/>
          <w:sz w:val="28"/>
          <w:szCs w:val="28"/>
        </w:rPr>
      </w:pPr>
    </w:p>
    <w:p w:rsidR="002A44F7" w:rsidRPr="00973281" w:rsidRDefault="00313A14" w:rsidP="00973281">
      <w:pPr>
        <w:spacing w:line="360" w:lineRule="auto"/>
        <w:rPr>
          <w:rFonts w:ascii="Arial" w:hAnsi="Arial" w:cs="Arial"/>
          <w:b/>
          <w:sz w:val="28"/>
          <w:szCs w:val="28"/>
        </w:rPr>
      </w:pPr>
      <w:r>
        <w:rPr>
          <w:rFonts w:ascii="Arial" w:hAnsi="Arial" w:cs="Arial"/>
          <w:b/>
          <w:sz w:val="28"/>
          <w:szCs w:val="28"/>
        </w:rPr>
        <w:t>2.1.4 Alcohol and other substances</w:t>
      </w:r>
    </w:p>
    <w:p w:rsidR="002A44F7" w:rsidRPr="00973281" w:rsidRDefault="002A44F7" w:rsidP="00973281">
      <w:pPr>
        <w:spacing w:line="360" w:lineRule="auto"/>
        <w:rPr>
          <w:rFonts w:ascii="Arial" w:hAnsi="Arial" w:cs="Arial"/>
          <w:b/>
          <w:sz w:val="28"/>
          <w:szCs w:val="28"/>
        </w:rPr>
      </w:pPr>
    </w:p>
    <w:p w:rsidR="002A44F7" w:rsidRDefault="002A44F7" w:rsidP="00973281">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rsidR="002A44F7" w:rsidRDefault="00F21980" w:rsidP="00F21980">
      <w:pPr>
        <w:spacing w:line="360" w:lineRule="auto"/>
        <w:rPr>
          <w:rFonts w:ascii="Arial" w:hAnsi="Arial" w:cs="Arial"/>
          <w:sz w:val="22"/>
          <w:szCs w:val="22"/>
        </w:rPr>
      </w:pPr>
      <w:r w:rsidRPr="00F21980">
        <w:rPr>
          <w:rFonts w:ascii="Arial" w:hAnsi="Arial" w:cs="Arial"/>
          <w:sz w:val="22"/>
          <w:szCs w:val="22"/>
        </w:rPr>
        <w:t>When working directly with children, staff at An</w:t>
      </w:r>
      <w:r>
        <w:rPr>
          <w:rFonts w:ascii="Arial" w:hAnsi="Arial" w:cs="Arial"/>
          <w:sz w:val="22"/>
          <w:szCs w:val="22"/>
        </w:rPr>
        <w:t>cells Farm Community Pre-school</w:t>
      </w:r>
      <w:r w:rsidRPr="00F21980">
        <w:rPr>
          <w:rFonts w:ascii="Arial" w:hAnsi="Arial" w:cs="Arial"/>
          <w:sz w:val="22"/>
          <w:szCs w:val="22"/>
        </w:rPr>
        <w:t xml:space="preserve"> must not be under the influence of alcohol or any other substance which may affect their ability to care for children. </w:t>
      </w:r>
    </w:p>
    <w:p w:rsidR="00F21980" w:rsidRPr="00F21980" w:rsidRDefault="00F21980" w:rsidP="00F21980">
      <w:pPr>
        <w:spacing w:line="360" w:lineRule="auto"/>
        <w:rPr>
          <w:rFonts w:ascii="Arial" w:hAnsi="Arial" w:cs="Arial"/>
          <w:sz w:val="22"/>
          <w:szCs w:val="22"/>
        </w:rPr>
      </w:pPr>
    </w:p>
    <w:p w:rsidR="002A44F7" w:rsidRDefault="002A44F7" w:rsidP="00973281">
      <w:pPr>
        <w:spacing w:line="360" w:lineRule="auto"/>
        <w:rPr>
          <w:rFonts w:ascii="Arial" w:hAnsi="Arial"/>
          <w:b/>
          <w:sz w:val="22"/>
          <w:szCs w:val="22"/>
        </w:rPr>
      </w:pPr>
      <w:r>
        <w:rPr>
          <w:rFonts w:ascii="Arial" w:hAnsi="Arial"/>
          <w:b/>
          <w:sz w:val="22"/>
          <w:szCs w:val="22"/>
        </w:rPr>
        <w:t>EYFS k</w:t>
      </w:r>
      <w:r w:rsidRPr="00D56E03">
        <w:rPr>
          <w:rFonts w:ascii="Arial" w:hAnsi="Arial"/>
          <w:b/>
          <w:sz w:val="22"/>
          <w:szCs w:val="22"/>
        </w:rPr>
        <w:t>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538"/>
        <w:gridCol w:w="2539"/>
        <w:gridCol w:w="2539"/>
      </w:tblGrid>
      <w:tr w:rsidR="001008C2" w:rsidRPr="004323EC" w:rsidTr="001008C2">
        <w:tc>
          <w:tcPr>
            <w:tcW w:w="1250" w:type="pct"/>
            <w:shd w:val="clear" w:color="auto" w:fill="00ACB6"/>
          </w:tcPr>
          <w:p w:rsidR="001008C2" w:rsidRPr="004323EC" w:rsidRDefault="001008C2" w:rsidP="001008C2">
            <w:pPr>
              <w:pStyle w:val="ListParagraph"/>
              <w:spacing w:line="360" w:lineRule="auto"/>
              <w:ind w:left="0"/>
              <w:rPr>
                <w:rFonts w:ascii="Arial" w:hAnsi="Arial" w:cs="Arial"/>
                <w:b/>
                <w:color w:val="FFFFFF"/>
              </w:rPr>
            </w:pPr>
            <w:r w:rsidRPr="004323EC">
              <w:rPr>
                <w:rFonts w:ascii="Arial" w:hAnsi="Arial" w:cs="Arial"/>
                <w:b/>
                <w:color w:val="FFFFFF"/>
              </w:rPr>
              <w:t>A Unique Child</w:t>
            </w:r>
          </w:p>
        </w:tc>
        <w:tc>
          <w:tcPr>
            <w:tcW w:w="1250" w:type="pct"/>
            <w:shd w:val="clear" w:color="auto" w:fill="A64D8A"/>
          </w:tcPr>
          <w:p w:rsidR="001008C2" w:rsidRPr="004323EC" w:rsidRDefault="001008C2" w:rsidP="001008C2">
            <w:pPr>
              <w:pStyle w:val="ListParagraph"/>
              <w:spacing w:line="360" w:lineRule="auto"/>
              <w:ind w:left="0"/>
              <w:rPr>
                <w:rFonts w:ascii="Arial" w:hAnsi="Arial" w:cs="Arial"/>
                <w:b/>
                <w:color w:val="FFFFFF"/>
              </w:rPr>
            </w:pPr>
            <w:r w:rsidRPr="004323EC">
              <w:rPr>
                <w:rFonts w:ascii="Arial" w:hAnsi="Arial" w:cs="Arial"/>
                <w:b/>
                <w:color w:val="FFFFFF"/>
              </w:rPr>
              <w:t>Positive Relationships</w:t>
            </w:r>
          </w:p>
        </w:tc>
        <w:tc>
          <w:tcPr>
            <w:tcW w:w="1250" w:type="pct"/>
            <w:shd w:val="clear" w:color="auto" w:fill="80B71B"/>
          </w:tcPr>
          <w:p w:rsidR="001008C2" w:rsidRPr="004323EC" w:rsidRDefault="001008C2" w:rsidP="001008C2">
            <w:pPr>
              <w:spacing w:line="360" w:lineRule="auto"/>
              <w:rPr>
                <w:rFonts w:ascii="Arial" w:hAnsi="Arial" w:cs="Arial"/>
                <w:b/>
                <w:color w:val="FFFFFF"/>
              </w:rPr>
            </w:pPr>
            <w:r w:rsidRPr="004323EC">
              <w:rPr>
                <w:rFonts w:ascii="Arial" w:hAnsi="Arial" w:cs="Arial"/>
                <w:b/>
                <w:color w:val="FFFFFF"/>
              </w:rPr>
              <w:t>Enabling Environments</w:t>
            </w:r>
          </w:p>
        </w:tc>
        <w:tc>
          <w:tcPr>
            <w:tcW w:w="1250" w:type="pct"/>
            <w:shd w:val="clear" w:color="auto" w:fill="EE7F00"/>
          </w:tcPr>
          <w:p w:rsidR="001008C2" w:rsidRPr="004323EC" w:rsidRDefault="001008C2" w:rsidP="001008C2">
            <w:pPr>
              <w:pStyle w:val="ListParagraph"/>
              <w:spacing w:line="360" w:lineRule="auto"/>
              <w:ind w:left="0"/>
              <w:rPr>
                <w:rFonts w:ascii="Arial" w:hAnsi="Arial" w:cs="Arial"/>
                <w:b/>
                <w:color w:val="FFFFFF"/>
              </w:rPr>
            </w:pPr>
            <w:r w:rsidRPr="004323EC">
              <w:rPr>
                <w:rFonts w:ascii="Arial" w:hAnsi="Arial" w:cs="Arial"/>
                <w:b/>
                <w:color w:val="FFFFFF"/>
              </w:rPr>
              <w:t>Learning and Development</w:t>
            </w:r>
          </w:p>
        </w:tc>
      </w:tr>
      <w:tr w:rsidR="002A44F7" w:rsidRPr="00961909" w:rsidTr="001008C2">
        <w:tc>
          <w:tcPr>
            <w:tcW w:w="1250" w:type="pct"/>
            <w:shd w:val="clear" w:color="auto" w:fill="00ACB6"/>
          </w:tcPr>
          <w:p w:rsidR="002A44F7" w:rsidRPr="007617D3" w:rsidRDefault="00F21980" w:rsidP="001008C2">
            <w:pPr>
              <w:pStyle w:val="ListParagraph"/>
              <w:spacing w:line="360" w:lineRule="auto"/>
              <w:ind w:left="0"/>
              <w:rPr>
                <w:rFonts w:ascii="Arial" w:hAnsi="Arial" w:cs="Arial"/>
                <w:color w:val="FFFFFF"/>
              </w:rPr>
            </w:pPr>
            <w:r w:rsidRPr="00795A74">
              <w:rPr>
                <w:rFonts w:ascii="Arial" w:hAnsi="Arial" w:cs="Arial"/>
                <w:color w:val="FFFFFF"/>
                <w:sz w:val="22"/>
                <w:szCs w:val="22"/>
              </w:rPr>
              <w:t>1.3 Keeping safe</w:t>
            </w:r>
          </w:p>
        </w:tc>
        <w:tc>
          <w:tcPr>
            <w:tcW w:w="1250" w:type="pct"/>
            <w:shd w:val="clear" w:color="auto" w:fill="A64D8A"/>
          </w:tcPr>
          <w:p w:rsidR="002A44F7" w:rsidRPr="007617D3" w:rsidRDefault="00F21980" w:rsidP="001008C2">
            <w:pPr>
              <w:pStyle w:val="ListParagraph"/>
              <w:spacing w:line="360" w:lineRule="auto"/>
              <w:ind w:left="0"/>
              <w:rPr>
                <w:rFonts w:ascii="Arial" w:hAnsi="Arial" w:cs="Arial"/>
                <w:color w:val="FFFFFF"/>
              </w:rPr>
            </w:pPr>
            <w:r w:rsidRPr="00795A74">
              <w:rPr>
                <w:rFonts w:ascii="Arial" w:hAnsi="Arial" w:cs="Arial"/>
                <w:color w:val="FFFFFF"/>
                <w:sz w:val="22"/>
                <w:szCs w:val="22"/>
              </w:rPr>
              <w:t>2.4 Key person</w:t>
            </w:r>
          </w:p>
        </w:tc>
        <w:tc>
          <w:tcPr>
            <w:tcW w:w="1250" w:type="pct"/>
            <w:shd w:val="clear" w:color="auto" w:fill="80B71B"/>
          </w:tcPr>
          <w:p w:rsidR="002A44F7" w:rsidRPr="007617D3" w:rsidRDefault="00BA5DB3" w:rsidP="001008C2">
            <w:pPr>
              <w:spacing w:line="360" w:lineRule="auto"/>
              <w:rPr>
                <w:rFonts w:ascii="Arial" w:hAnsi="Arial" w:cs="Arial"/>
                <w:color w:val="FFFFFF"/>
              </w:rPr>
            </w:pPr>
            <w:r>
              <w:rPr>
                <w:rFonts w:ascii="Arial" w:hAnsi="Arial" w:cs="Arial"/>
                <w:color w:val="FFFFFF"/>
                <w:sz w:val="22"/>
                <w:szCs w:val="22"/>
              </w:rPr>
              <w:t>The wider context</w:t>
            </w:r>
          </w:p>
        </w:tc>
        <w:tc>
          <w:tcPr>
            <w:tcW w:w="1250" w:type="pct"/>
            <w:shd w:val="clear" w:color="auto" w:fill="EE7F00"/>
          </w:tcPr>
          <w:p w:rsidR="002A44F7" w:rsidRPr="007617D3" w:rsidRDefault="002A44F7" w:rsidP="001008C2">
            <w:pPr>
              <w:pStyle w:val="ListParagraph"/>
              <w:spacing w:line="360" w:lineRule="auto"/>
              <w:ind w:left="0"/>
              <w:rPr>
                <w:rFonts w:ascii="Arial" w:hAnsi="Arial" w:cs="Arial"/>
                <w:color w:val="FFFFFF"/>
              </w:rPr>
            </w:pPr>
          </w:p>
        </w:tc>
      </w:tr>
    </w:tbl>
    <w:p w:rsidR="002A44F7" w:rsidRDefault="002A44F7" w:rsidP="00973281">
      <w:pPr>
        <w:spacing w:line="360" w:lineRule="auto"/>
        <w:rPr>
          <w:rFonts w:ascii="Arial" w:hAnsi="Arial"/>
          <w:b/>
          <w:sz w:val="22"/>
          <w:szCs w:val="22"/>
        </w:rPr>
      </w:pPr>
    </w:p>
    <w:p w:rsidR="002A44F7" w:rsidRPr="00973281" w:rsidRDefault="002A44F7" w:rsidP="00973281">
      <w:pPr>
        <w:spacing w:line="360" w:lineRule="auto"/>
        <w:rPr>
          <w:rFonts w:ascii="Arial" w:hAnsi="Arial" w:cs="Arial"/>
          <w:b/>
          <w:sz w:val="22"/>
          <w:szCs w:val="22"/>
        </w:rPr>
      </w:pPr>
      <w:r w:rsidRPr="00973281">
        <w:rPr>
          <w:rFonts w:ascii="Arial" w:hAnsi="Arial" w:cs="Arial"/>
          <w:b/>
          <w:sz w:val="22"/>
          <w:szCs w:val="22"/>
        </w:rPr>
        <w:t>Procedures</w:t>
      </w:r>
    </w:p>
    <w:p w:rsidR="00F21980" w:rsidRPr="00F21980" w:rsidRDefault="00F21980" w:rsidP="00E0070B">
      <w:pPr>
        <w:numPr>
          <w:ilvl w:val="0"/>
          <w:numId w:val="3"/>
        </w:numPr>
        <w:spacing w:line="360" w:lineRule="auto"/>
        <w:rPr>
          <w:rFonts w:ascii="Arial" w:hAnsi="Arial" w:cs="Arial"/>
          <w:sz w:val="22"/>
          <w:szCs w:val="22"/>
        </w:rPr>
      </w:pPr>
      <w:r w:rsidRPr="00F21980">
        <w:rPr>
          <w:rFonts w:ascii="Arial" w:hAnsi="Arial" w:cs="Arial"/>
          <w:sz w:val="22"/>
          <w:szCs w:val="22"/>
        </w:rPr>
        <w:t>If a member of staff is found to be under the influence of alcohol or any other substance which may affect their ability to care for children this will result in immediate dismissal.</w:t>
      </w:r>
    </w:p>
    <w:p w:rsidR="002A44F7" w:rsidRPr="00C65420" w:rsidRDefault="00F21980" w:rsidP="00E0070B">
      <w:pPr>
        <w:numPr>
          <w:ilvl w:val="0"/>
          <w:numId w:val="3"/>
        </w:numPr>
        <w:spacing w:line="360" w:lineRule="auto"/>
        <w:rPr>
          <w:rFonts w:ascii="Arial" w:hAnsi="Arial" w:cs="Arial"/>
          <w:sz w:val="22"/>
          <w:szCs w:val="22"/>
        </w:rPr>
      </w:pPr>
      <w:r w:rsidRPr="00F21980">
        <w:rPr>
          <w:rFonts w:ascii="Arial" w:hAnsi="Arial" w:cs="Arial"/>
          <w:sz w:val="22"/>
          <w:szCs w:val="22"/>
        </w:rPr>
        <w:t>Practitioners taking medication which they believe may affect their ability to care for children should seek medical advice and only work directly with children if that advice is that the medication is unlikely to impair their ability to look after children</w:t>
      </w:r>
      <w:r w:rsidR="002A44F7" w:rsidRPr="00F21980">
        <w:rPr>
          <w:rFonts w:ascii="Arial" w:hAnsi="Arial" w:cs="Arial"/>
          <w:i/>
          <w:sz w:val="22"/>
          <w:szCs w:val="22"/>
        </w:rPr>
        <w:t>.</w:t>
      </w:r>
    </w:p>
    <w:p w:rsidR="00C65420" w:rsidRDefault="00C65420" w:rsidP="00C65420">
      <w:pPr>
        <w:pStyle w:val="ListParagraph"/>
        <w:spacing w:line="360" w:lineRule="auto"/>
        <w:ind w:left="360"/>
        <w:rPr>
          <w:rFonts w:ascii="Arial" w:hAnsi="Arial" w:cs="Arial"/>
          <w:sz w:val="22"/>
          <w:szCs w:val="22"/>
        </w:rPr>
      </w:pPr>
    </w:p>
    <w:p w:rsidR="00E9476C" w:rsidRDefault="00E9476C" w:rsidP="00C65420">
      <w:pPr>
        <w:pStyle w:val="ListParagraph"/>
        <w:spacing w:line="360" w:lineRule="auto"/>
        <w:ind w:left="360"/>
        <w:rPr>
          <w:rFonts w:ascii="Arial" w:hAnsi="Arial" w:cs="Arial"/>
          <w:sz w:val="22"/>
          <w:szCs w:val="22"/>
        </w:rPr>
      </w:pPr>
    </w:p>
    <w:p w:rsidR="00E9476C" w:rsidRDefault="00E9476C" w:rsidP="00E9476C">
      <w:pPr>
        <w:spacing w:line="360" w:lineRule="auto"/>
        <w:rPr>
          <w:rFonts w:ascii="Arial" w:hAnsi="Arial" w:cs="Arial"/>
          <w:sz w:val="22"/>
          <w:szCs w:val="22"/>
        </w:rPr>
      </w:pPr>
    </w:p>
    <w:tbl>
      <w:tblPr>
        <w:tblW w:w="5000" w:type="pct"/>
        <w:tblLook w:val="01E0"/>
      </w:tblPr>
      <w:tblGrid>
        <w:gridCol w:w="4673"/>
        <w:gridCol w:w="3538"/>
        <w:gridCol w:w="1943"/>
      </w:tblGrid>
      <w:tr w:rsidR="00E9476C" w:rsidTr="00E9476C">
        <w:tc>
          <w:tcPr>
            <w:tcW w:w="2301" w:type="pct"/>
            <w:hideMark/>
          </w:tcPr>
          <w:p w:rsidR="00E9476C" w:rsidRDefault="00E9476C">
            <w:pPr>
              <w:spacing w:line="360" w:lineRule="auto"/>
              <w:rPr>
                <w:rFonts w:ascii="Arial" w:hAnsi="Arial" w:cs="Arial"/>
                <w:sz w:val="20"/>
                <w:szCs w:val="20"/>
              </w:rPr>
            </w:pPr>
            <w:r>
              <w:rPr>
                <w:rFonts w:ascii="Arial" w:hAnsi="Arial" w:cs="Arial"/>
                <w:sz w:val="20"/>
                <w:szCs w:val="20"/>
              </w:rPr>
              <w:t>This policy was adopted at a meeting of</w:t>
            </w:r>
          </w:p>
        </w:tc>
        <w:tc>
          <w:tcPr>
            <w:tcW w:w="1742" w:type="pct"/>
            <w:tcBorders>
              <w:top w:val="nil"/>
              <w:left w:val="nil"/>
              <w:bottom w:val="single" w:sz="4" w:space="0" w:color="4F81BD"/>
              <w:right w:val="nil"/>
            </w:tcBorders>
            <w:hideMark/>
          </w:tcPr>
          <w:p w:rsidR="00E9476C" w:rsidRDefault="00E9476C">
            <w:pPr>
              <w:spacing w:line="360" w:lineRule="auto"/>
              <w:rPr>
                <w:rFonts w:ascii="Arial" w:hAnsi="Arial" w:cs="Arial"/>
                <w:sz w:val="18"/>
                <w:szCs w:val="18"/>
              </w:rPr>
            </w:pPr>
            <w:r>
              <w:rPr>
                <w:rFonts w:ascii="Arial" w:hAnsi="Arial" w:cs="Arial"/>
                <w:sz w:val="18"/>
                <w:szCs w:val="18"/>
              </w:rPr>
              <w:t>Ancells Farm Community Pre-School</w:t>
            </w:r>
          </w:p>
        </w:tc>
        <w:tc>
          <w:tcPr>
            <w:tcW w:w="957" w:type="pct"/>
            <w:hideMark/>
          </w:tcPr>
          <w:p w:rsidR="00E9476C" w:rsidRDefault="00E9476C">
            <w:pPr>
              <w:spacing w:line="360" w:lineRule="auto"/>
              <w:rPr>
                <w:rFonts w:ascii="Arial" w:hAnsi="Arial" w:cs="Arial"/>
                <w:sz w:val="20"/>
                <w:szCs w:val="20"/>
              </w:rPr>
            </w:pPr>
            <w:r>
              <w:rPr>
                <w:rFonts w:ascii="Arial" w:hAnsi="Arial" w:cs="Arial"/>
                <w:sz w:val="20"/>
                <w:szCs w:val="20"/>
              </w:rPr>
              <w:t>name of setting</w:t>
            </w:r>
          </w:p>
        </w:tc>
      </w:tr>
      <w:tr w:rsidR="00E9476C" w:rsidTr="00E9476C">
        <w:tc>
          <w:tcPr>
            <w:tcW w:w="2301" w:type="pct"/>
            <w:hideMark/>
          </w:tcPr>
          <w:p w:rsidR="00E9476C" w:rsidRDefault="00E9476C">
            <w:pPr>
              <w:spacing w:line="360" w:lineRule="auto"/>
              <w:rPr>
                <w:rFonts w:ascii="Arial" w:hAnsi="Arial" w:cs="Arial"/>
                <w:sz w:val="20"/>
                <w:szCs w:val="20"/>
              </w:rPr>
            </w:pPr>
            <w:r>
              <w:rPr>
                <w:rFonts w:ascii="Arial" w:hAnsi="Arial" w:cs="Arial"/>
                <w:sz w:val="20"/>
                <w:szCs w:val="20"/>
              </w:rPr>
              <w:t>Held on</w:t>
            </w:r>
          </w:p>
        </w:tc>
        <w:tc>
          <w:tcPr>
            <w:tcW w:w="1742" w:type="pct"/>
            <w:tcBorders>
              <w:top w:val="single" w:sz="4" w:space="0" w:color="4F81BD"/>
              <w:left w:val="nil"/>
              <w:bottom w:val="single" w:sz="4" w:space="0" w:color="4F81BD"/>
              <w:right w:val="nil"/>
            </w:tcBorders>
          </w:tcPr>
          <w:p w:rsidR="00E9476C" w:rsidRDefault="00E9476C">
            <w:pPr>
              <w:spacing w:line="360" w:lineRule="auto"/>
              <w:rPr>
                <w:rFonts w:ascii="Arial" w:hAnsi="Arial" w:cs="Arial"/>
                <w:sz w:val="20"/>
                <w:szCs w:val="20"/>
              </w:rPr>
            </w:pPr>
          </w:p>
        </w:tc>
        <w:tc>
          <w:tcPr>
            <w:tcW w:w="957" w:type="pct"/>
            <w:hideMark/>
          </w:tcPr>
          <w:p w:rsidR="00E9476C" w:rsidRDefault="00E9476C">
            <w:pPr>
              <w:spacing w:line="360" w:lineRule="auto"/>
              <w:rPr>
                <w:rFonts w:ascii="Arial" w:hAnsi="Arial" w:cs="Arial"/>
                <w:sz w:val="20"/>
                <w:szCs w:val="20"/>
              </w:rPr>
            </w:pPr>
            <w:r>
              <w:rPr>
                <w:rFonts w:ascii="Arial" w:hAnsi="Arial" w:cs="Arial"/>
                <w:sz w:val="20"/>
                <w:szCs w:val="20"/>
              </w:rPr>
              <w:t>(date)</w:t>
            </w:r>
          </w:p>
        </w:tc>
      </w:tr>
      <w:tr w:rsidR="00E9476C" w:rsidTr="00E9476C">
        <w:tc>
          <w:tcPr>
            <w:tcW w:w="2301" w:type="pct"/>
            <w:hideMark/>
          </w:tcPr>
          <w:p w:rsidR="00E9476C" w:rsidRDefault="00E9476C">
            <w:pPr>
              <w:spacing w:line="360" w:lineRule="auto"/>
              <w:rPr>
                <w:rFonts w:ascii="Arial" w:hAnsi="Arial" w:cs="Arial"/>
                <w:sz w:val="20"/>
                <w:szCs w:val="20"/>
              </w:rPr>
            </w:pPr>
            <w:r>
              <w:rPr>
                <w:rFonts w:ascii="Arial" w:hAnsi="Arial" w:cs="Arial"/>
                <w:sz w:val="20"/>
                <w:szCs w:val="20"/>
              </w:rPr>
              <w:t>Date to be reviewed</w:t>
            </w:r>
          </w:p>
        </w:tc>
        <w:tc>
          <w:tcPr>
            <w:tcW w:w="1742" w:type="pct"/>
            <w:tcBorders>
              <w:top w:val="single" w:sz="4" w:space="0" w:color="4F81BD"/>
              <w:left w:val="nil"/>
              <w:bottom w:val="single" w:sz="4" w:space="0" w:color="4F81BD"/>
              <w:right w:val="nil"/>
            </w:tcBorders>
          </w:tcPr>
          <w:p w:rsidR="00E9476C" w:rsidRDefault="00E9476C">
            <w:pPr>
              <w:spacing w:line="360" w:lineRule="auto"/>
              <w:rPr>
                <w:rFonts w:ascii="Arial" w:hAnsi="Arial" w:cs="Arial"/>
                <w:sz w:val="20"/>
                <w:szCs w:val="20"/>
              </w:rPr>
            </w:pPr>
          </w:p>
        </w:tc>
        <w:tc>
          <w:tcPr>
            <w:tcW w:w="957" w:type="pct"/>
            <w:hideMark/>
          </w:tcPr>
          <w:p w:rsidR="00E9476C" w:rsidRDefault="00E9476C">
            <w:pPr>
              <w:spacing w:line="360" w:lineRule="auto"/>
              <w:rPr>
                <w:rFonts w:ascii="Arial" w:hAnsi="Arial" w:cs="Arial"/>
                <w:sz w:val="20"/>
                <w:szCs w:val="20"/>
              </w:rPr>
            </w:pPr>
            <w:r>
              <w:rPr>
                <w:rFonts w:ascii="Arial" w:hAnsi="Arial" w:cs="Arial"/>
                <w:sz w:val="20"/>
                <w:szCs w:val="20"/>
              </w:rPr>
              <w:t>(date)</w:t>
            </w:r>
          </w:p>
        </w:tc>
      </w:tr>
      <w:tr w:rsidR="00E9476C" w:rsidTr="00E9476C">
        <w:tc>
          <w:tcPr>
            <w:tcW w:w="2301" w:type="pct"/>
            <w:hideMark/>
          </w:tcPr>
          <w:p w:rsidR="00E9476C" w:rsidRDefault="00E9476C">
            <w:pPr>
              <w:spacing w:line="360" w:lineRule="auto"/>
              <w:rPr>
                <w:rFonts w:ascii="Arial" w:hAnsi="Arial" w:cs="Arial"/>
                <w:sz w:val="20"/>
                <w:szCs w:val="20"/>
              </w:rPr>
            </w:pPr>
            <w:r>
              <w:rPr>
                <w:rFonts w:ascii="Arial" w:hAnsi="Arial" w:cs="Arial"/>
                <w:sz w:val="20"/>
                <w:szCs w:val="20"/>
              </w:rPr>
              <w:t>Signed on behalf of the management committee</w:t>
            </w:r>
          </w:p>
        </w:tc>
        <w:tc>
          <w:tcPr>
            <w:tcW w:w="2699" w:type="pct"/>
            <w:gridSpan w:val="2"/>
            <w:tcBorders>
              <w:top w:val="nil"/>
              <w:left w:val="nil"/>
              <w:bottom w:val="single" w:sz="4" w:space="0" w:color="4F81BD"/>
              <w:right w:val="nil"/>
            </w:tcBorders>
          </w:tcPr>
          <w:p w:rsidR="00E9476C" w:rsidRDefault="00E9476C">
            <w:pPr>
              <w:spacing w:line="360" w:lineRule="auto"/>
              <w:rPr>
                <w:rFonts w:ascii="Arial" w:hAnsi="Arial" w:cs="Arial"/>
                <w:sz w:val="20"/>
                <w:szCs w:val="20"/>
              </w:rPr>
            </w:pPr>
          </w:p>
        </w:tc>
      </w:tr>
      <w:tr w:rsidR="00E9476C" w:rsidTr="00E9476C">
        <w:tc>
          <w:tcPr>
            <w:tcW w:w="2301" w:type="pct"/>
            <w:hideMark/>
          </w:tcPr>
          <w:p w:rsidR="00E9476C" w:rsidRDefault="00E9476C">
            <w:pPr>
              <w:spacing w:line="360" w:lineRule="auto"/>
              <w:rPr>
                <w:rFonts w:ascii="Arial" w:hAnsi="Arial" w:cs="Arial"/>
                <w:sz w:val="20"/>
                <w:szCs w:val="20"/>
              </w:rPr>
            </w:pPr>
            <w:r>
              <w:rPr>
                <w:rFonts w:ascii="Arial" w:hAnsi="Arial" w:cs="Arial"/>
                <w:sz w:val="20"/>
                <w:szCs w:val="20"/>
              </w:rPr>
              <w:t>Name of signatory</w:t>
            </w:r>
          </w:p>
        </w:tc>
        <w:tc>
          <w:tcPr>
            <w:tcW w:w="2699" w:type="pct"/>
            <w:gridSpan w:val="2"/>
            <w:tcBorders>
              <w:top w:val="single" w:sz="4" w:space="0" w:color="4F81BD"/>
              <w:left w:val="nil"/>
              <w:bottom w:val="single" w:sz="4" w:space="0" w:color="4F81BD"/>
              <w:right w:val="nil"/>
            </w:tcBorders>
          </w:tcPr>
          <w:p w:rsidR="00E9476C" w:rsidRDefault="00E9476C">
            <w:pPr>
              <w:spacing w:line="360" w:lineRule="auto"/>
              <w:rPr>
                <w:rFonts w:ascii="Arial" w:hAnsi="Arial" w:cs="Arial"/>
                <w:sz w:val="20"/>
                <w:szCs w:val="20"/>
              </w:rPr>
            </w:pPr>
          </w:p>
        </w:tc>
      </w:tr>
      <w:tr w:rsidR="00E9476C" w:rsidTr="00E9476C">
        <w:tc>
          <w:tcPr>
            <w:tcW w:w="2301" w:type="pct"/>
            <w:hideMark/>
          </w:tcPr>
          <w:p w:rsidR="00E9476C" w:rsidRDefault="00E9476C">
            <w:pPr>
              <w:spacing w:line="360" w:lineRule="auto"/>
              <w:rPr>
                <w:rFonts w:ascii="Arial" w:hAnsi="Arial" w:cs="Arial"/>
                <w:sz w:val="20"/>
                <w:szCs w:val="20"/>
              </w:rPr>
            </w:pPr>
            <w:r>
              <w:rPr>
                <w:rFonts w:ascii="Arial" w:hAnsi="Arial" w:cs="Arial"/>
                <w:sz w:val="20"/>
                <w:szCs w:val="20"/>
              </w:rPr>
              <w:t>Role of signatory (e.g. chair/owner)</w:t>
            </w:r>
          </w:p>
        </w:tc>
        <w:tc>
          <w:tcPr>
            <w:tcW w:w="2699" w:type="pct"/>
            <w:gridSpan w:val="2"/>
            <w:tcBorders>
              <w:top w:val="single" w:sz="4" w:space="0" w:color="4F81BD"/>
              <w:left w:val="nil"/>
              <w:bottom w:val="single" w:sz="4" w:space="0" w:color="4F81BD"/>
              <w:right w:val="nil"/>
            </w:tcBorders>
          </w:tcPr>
          <w:p w:rsidR="00E9476C" w:rsidRDefault="00E9476C">
            <w:pPr>
              <w:spacing w:line="360" w:lineRule="auto"/>
              <w:rPr>
                <w:rFonts w:ascii="Arial" w:hAnsi="Arial" w:cs="Arial"/>
                <w:sz w:val="20"/>
                <w:szCs w:val="20"/>
              </w:rPr>
            </w:pPr>
          </w:p>
        </w:tc>
      </w:tr>
    </w:tbl>
    <w:p w:rsidR="00E9476C" w:rsidRDefault="00E9476C" w:rsidP="00E9476C">
      <w:pPr>
        <w:spacing w:line="360" w:lineRule="auto"/>
        <w:rPr>
          <w:rFonts w:ascii="Arial" w:hAnsi="Arial" w:cs="Arial"/>
          <w:b/>
          <w:sz w:val="20"/>
          <w:szCs w:val="20"/>
        </w:rPr>
      </w:pPr>
    </w:p>
    <w:p w:rsidR="00E9476C" w:rsidRDefault="00E9476C" w:rsidP="00E9476C">
      <w:pPr>
        <w:pStyle w:val="ListParagraph"/>
        <w:spacing w:line="360" w:lineRule="auto"/>
        <w:ind w:left="0"/>
        <w:rPr>
          <w:rFonts w:ascii="Arial" w:hAnsi="Arial" w:cs="Arial"/>
          <w:sz w:val="22"/>
          <w:szCs w:val="22"/>
        </w:rPr>
      </w:pPr>
    </w:p>
    <w:sectPr w:rsidR="00E9476C" w:rsidSect="00AC593A">
      <w:headerReference w:type="first" r:id="rId7"/>
      <w:pgSz w:w="12240" w:h="15840"/>
      <w:pgMar w:top="992" w:right="1151" w:bottom="851" w:left="11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7EB" w:rsidRDefault="009147EB" w:rsidP="00973281">
      <w:r>
        <w:separator/>
      </w:r>
    </w:p>
  </w:endnote>
  <w:endnote w:type="continuationSeparator" w:id="1">
    <w:p w:rsidR="009147EB" w:rsidRDefault="009147EB" w:rsidP="009732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7EB" w:rsidRDefault="009147EB" w:rsidP="00973281">
      <w:r>
        <w:separator/>
      </w:r>
    </w:p>
  </w:footnote>
  <w:footnote w:type="continuationSeparator" w:id="1">
    <w:p w:rsidR="009147EB" w:rsidRDefault="009147EB" w:rsidP="00973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443" w:rsidRDefault="00F52443" w:rsidP="00F52443">
    <w:pPr>
      <w:pBdr>
        <w:top w:val="single" w:sz="4" w:space="1" w:color="C0504D"/>
        <w:left w:val="single" w:sz="4" w:space="4" w:color="C0504D"/>
        <w:bottom w:val="single" w:sz="4" w:space="1" w:color="C0504D"/>
        <w:right w:val="single" w:sz="4" w:space="4" w:color="C0504D"/>
      </w:pBdr>
      <w:spacing w:before="120" w:after="120"/>
      <w:rPr>
        <w:rFonts w:ascii="Arial" w:hAnsi="Arial"/>
        <w:b/>
        <w:color w:val="C0504D"/>
        <w:sz w:val="22"/>
        <w:szCs w:val="22"/>
      </w:rPr>
    </w:pPr>
    <w:r>
      <w:rPr>
        <w:rFonts w:ascii="Arial" w:hAnsi="Arial"/>
        <w:b/>
        <w:color w:val="C0504D"/>
        <w:sz w:val="22"/>
        <w:szCs w:val="22"/>
      </w:rPr>
      <w:t>General Welfare Requirement: Suitable People</w:t>
    </w:r>
  </w:p>
  <w:p w:rsidR="00F52443" w:rsidRDefault="00F52443" w:rsidP="00F52443">
    <w:pPr>
      <w:pBdr>
        <w:top w:val="single" w:sz="4" w:space="1" w:color="C0504D"/>
        <w:left w:val="single" w:sz="4" w:space="4" w:color="C0504D"/>
        <w:bottom w:val="single" w:sz="4" w:space="1" w:color="C0504D"/>
        <w:right w:val="single" w:sz="4" w:space="4" w:color="C0504D"/>
      </w:pBdr>
      <w:spacing w:before="120" w:after="120"/>
      <w:rPr>
        <w:rFonts w:ascii="Arial" w:hAnsi="Arial"/>
        <w:color w:val="C0504D"/>
        <w:sz w:val="22"/>
        <w:szCs w:val="22"/>
      </w:rPr>
    </w:pPr>
    <w:r>
      <w:rPr>
        <w:rFonts w:ascii="Arial" w:hAnsi="Arial"/>
        <w:color w:val="C0504D"/>
        <w:sz w:val="22"/>
        <w:szCs w:val="22"/>
      </w:rPr>
      <w:t>Providers must ensure that adults looking after children, or having unsupervised access to them, are suitable to do so.</w:t>
    </w:r>
  </w:p>
  <w:p w:rsidR="002A44F7" w:rsidRPr="00F52443" w:rsidRDefault="002A44F7" w:rsidP="00F52443">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48A2FB1"/>
    <w:multiLevelType w:val="hybridMultilevel"/>
    <w:tmpl w:val="AA120704"/>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47621"/>
    <w:rsid w:val="00051673"/>
    <w:rsid w:val="0005539D"/>
    <w:rsid w:val="00070A2E"/>
    <w:rsid w:val="00084735"/>
    <w:rsid w:val="000E441E"/>
    <w:rsid w:val="001008C2"/>
    <w:rsid w:val="00130DED"/>
    <w:rsid w:val="001D7A59"/>
    <w:rsid w:val="001F2B8D"/>
    <w:rsid w:val="00216C6F"/>
    <w:rsid w:val="002A20C7"/>
    <w:rsid w:val="002A44F7"/>
    <w:rsid w:val="002A492B"/>
    <w:rsid w:val="00313A14"/>
    <w:rsid w:val="003250BB"/>
    <w:rsid w:val="003534FF"/>
    <w:rsid w:val="0036662B"/>
    <w:rsid w:val="00372B11"/>
    <w:rsid w:val="00386B54"/>
    <w:rsid w:val="003A7905"/>
    <w:rsid w:val="004323EC"/>
    <w:rsid w:val="00433D33"/>
    <w:rsid w:val="00435D8D"/>
    <w:rsid w:val="00452363"/>
    <w:rsid w:val="00492682"/>
    <w:rsid w:val="004D33B6"/>
    <w:rsid w:val="00537E76"/>
    <w:rsid w:val="00561B09"/>
    <w:rsid w:val="005D4C9E"/>
    <w:rsid w:val="005F37C7"/>
    <w:rsid w:val="00612963"/>
    <w:rsid w:val="00613614"/>
    <w:rsid w:val="00647E30"/>
    <w:rsid w:val="006A3483"/>
    <w:rsid w:val="006A6B18"/>
    <w:rsid w:val="006E62E6"/>
    <w:rsid w:val="00747621"/>
    <w:rsid w:val="00754DB7"/>
    <w:rsid w:val="007617D3"/>
    <w:rsid w:val="0077553C"/>
    <w:rsid w:val="007E1955"/>
    <w:rsid w:val="00806C6C"/>
    <w:rsid w:val="008438AB"/>
    <w:rsid w:val="00871102"/>
    <w:rsid w:val="00890B0C"/>
    <w:rsid w:val="008A516A"/>
    <w:rsid w:val="008C289F"/>
    <w:rsid w:val="008D335C"/>
    <w:rsid w:val="008E2B9C"/>
    <w:rsid w:val="008F07DA"/>
    <w:rsid w:val="009147EB"/>
    <w:rsid w:val="00961909"/>
    <w:rsid w:val="00973281"/>
    <w:rsid w:val="009A106C"/>
    <w:rsid w:val="009B265E"/>
    <w:rsid w:val="009E4B4E"/>
    <w:rsid w:val="00AC593A"/>
    <w:rsid w:val="00B14756"/>
    <w:rsid w:val="00BA5DB3"/>
    <w:rsid w:val="00BB4E98"/>
    <w:rsid w:val="00C46E28"/>
    <w:rsid w:val="00C65420"/>
    <w:rsid w:val="00C71E0E"/>
    <w:rsid w:val="00D42DAD"/>
    <w:rsid w:val="00D56E03"/>
    <w:rsid w:val="00D75F51"/>
    <w:rsid w:val="00E0070B"/>
    <w:rsid w:val="00E202E8"/>
    <w:rsid w:val="00E32C52"/>
    <w:rsid w:val="00E51263"/>
    <w:rsid w:val="00E9476C"/>
    <w:rsid w:val="00EE6AF0"/>
    <w:rsid w:val="00F21980"/>
    <w:rsid w:val="00F52443"/>
    <w:rsid w:val="00FD7B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semiHidden/>
    <w:unhideWhenUsed/>
    <w:rsid w:val="00973281"/>
    <w:pPr>
      <w:tabs>
        <w:tab w:val="center" w:pos="4680"/>
        <w:tab w:val="right" w:pos="9360"/>
      </w:tabs>
    </w:pPr>
  </w:style>
  <w:style w:type="character" w:customStyle="1" w:styleId="FooterChar">
    <w:name w:val="Footer Char"/>
    <w:link w:val="Footer"/>
    <w:uiPriority w:val="99"/>
    <w:semiHidden/>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7505642">
      <w:bodyDiv w:val="1"/>
      <w:marLeft w:val="0"/>
      <w:marRight w:val="0"/>
      <w:marTop w:val="0"/>
      <w:marBottom w:val="0"/>
      <w:divBdr>
        <w:top w:val="none" w:sz="0" w:space="0" w:color="auto"/>
        <w:left w:val="none" w:sz="0" w:space="0" w:color="auto"/>
        <w:bottom w:val="none" w:sz="0" w:space="0" w:color="auto"/>
        <w:right w:val="none" w:sz="0" w:space="0" w:color="auto"/>
      </w:divBdr>
    </w:div>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Your User Name</cp:lastModifiedBy>
  <cp:revision>10</cp:revision>
  <cp:lastPrinted>2008-10-08T13:43:00Z</cp:lastPrinted>
  <dcterms:created xsi:type="dcterms:W3CDTF">2012-03-23T22:45:00Z</dcterms:created>
  <dcterms:modified xsi:type="dcterms:W3CDTF">2012-03-25T21:26:00Z</dcterms:modified>
</cp:coreProperties>
</file>