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6287" w:rsidRDefault="00D16287">
      <w:pPr>
        <w:widowControl w:val="0"/>
        <w:spacing w:after="0"/>
      </w:pPr>
      <w:bookmarkStart w:id="0" w:name="_gjdgxs" w:colFirst="0" w:colLast="0"/>
      <w:bookmarkEnd w:id="0"/>
    </w:p>
    <w:tbl>
      <w:tblPr>
        <w:tblStyle w:val="a"/>
        <w:tblW w:w="2481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</w:tblGrid>
      <w:tr w:rsidR="00D16287">
        <w:trPr>
          <w:trHeight w:val="1260"/>
        </w:trPr>
        <w:tc>
          <w:tcPr>
            <w:tcW w:w="2481" w:type="dxa"/>
          </w:tcPr>
          <w:p w:rsidR="00D16287" w:rsidRDefault="005F6F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2152" cy="1270240"/>
                  <wp:effectExtent l="0" t="0" r="0" b="0"/>
                  <wp:docPr id="1" name="image1.png" descr="tedd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ddy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52" cy="127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287" w:rsidRDefault="005F6F8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Ancells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Farm Community Pre-School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Starter Information Pack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Your child may enter our pre-school as soon as they reach 2 years old subject to two trial visits and you as the parent agreeing that they are ready.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 A Key Person who is a member of staff will be allocated to your child. This is to promote a liaison betwe</w:t>
      </w:r>
      <w:r>
        <w:rPr>
          <w:rFonts w:ascii="Arial" w:eastAsia="Arial" w:hAnsi="Arial" w:cs="Arial"/>
        </w:rPr>
        <w:t>en the child, the parent and the pre-school and to ensure that your child settles in to the pre-school as comfortably and as stress free as possible. Further details regarding a key person are available within the policies folder which is located at the se</w:t>
      </w:r>
      <w:r>
        <w:rPr>
          <w:rFonts w:ascii="Arial" w:eastAsia="Arial" w:hAnsi="Arial" w:cs="Arial"/>
        </w:rPr>
        <w:t xml:space="preserve">tting.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Pre-School Sessions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Opening Times</w:t>
      </w:r>
    </w:p>
    <w:p w:rsidR="00D16287" w:rsidRDefault="00D16287">
      <w:pPr>
        <w:spacing w:after="0" w:line="240" w:lineRule="auto"/>
      </w:pPr>
    </w:p>
    <w:tbl>
      <w:tblPr>
        <w:tblStyle w:val="a0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2467"/>
        <w:gridCol w:w="2467"/>
        <w:gridCol w:w="2467"/>
      </w:tblGrid>
      <w:tr w:rsidR="00D16287">
        <w:trPr>
          <w:trHeight w:val="28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Day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>Each Session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>Lunch Club</w:t>
            </w:r>
          </w:p>
        </w:tc>
        <w:tc>
          <w:tcPr>
            <w:tcW w:w="2467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Afternoons session ends</w:t>
            </w:r>
          </w:p>
        </w:tc>
      </w:tr>
      <w:tr w:rsidR="00D16287">
        <w:trPr>
          <w:trHeight w:val="26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09.15 – 11.45,12.15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12.15 – 13.15</w:t>
            </w:r>
          </w:p>
        </w:tc>
        <w:tc>
          <w:tcPr>
            <w:tcW w:w="2467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14.45</w:t>
            </w:r>
          </w:p>
        </w:tc>
      </w:tr>
      <w:tr w:rsidR="00D16287">
        <w:trPr>
          <w:trHeight w:val="26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Tuesday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09.15 – 11.45,12.15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12.15 – 13.15</w:t>
            </w:r>
          </w:p>
        </w:tc>
        <w:tc>
          <w:tcPr>
            <w:tcW w:w="2467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14.45</w:t>
            </w:r>
          </w:p>
        </w:tc>
      </w:tr>
      <w:tr w:rsidR="00D16287">
        <w:trPr>
          <w:trHeight w:val="26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09.15 – 11.45,12.15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12.15 – 13.15</w:t>
            </w:r>
          </w:p>
        </w:tc>
        <w:tc>
          <w:tcPr>
            <w:tcW w:w="2467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14.45</w:t>
            </w:r>
          </w:p>
        </w:tc>
      </w:tr>
      <w:tr w:rsidR="00D16287">
        <w:trPr>
          <w:trHeight w:val="26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09.15 – 11.45,12.15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12.15 – 13.15</w:t>
            </w:r>
          </w:p>
        </w:tc>
        <w:tc>
          <w:tcPr>
            <w:tcW w:w="2467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6287">
        <w:trPr>
          <w:trHeight w:val="280"/>
        </w:trPr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09.15 – 11.45,12.15</w:t>
            </w:r>
          </w:p>
        </w:tc>
        <w:tc>
          <w:tcPr>
            <w:tcW w:w="2467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12.15 – 13.15</w:t>
            </w:r>
          </w:p>
        </w:tc>
        <w:tc>
          <w:tcPr>
            <w:tcW w:w="2467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14.45</w:t>
            </w:r>
          </w:p>
        </w:tc>
      </w:tr>
    </w:tbl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Fees </w:t>
      </w:r>
      <w:r w:rsidR="003268CF">
        <w:rPr>
          <w:rFonts w:ascii="Arial" w:eastAsia="Arial" w:hAnsi="Arial" w:cs="Arial"/>
          <w:b/>
          <w:sz w:val="24"/>
          <w:szCs w:val="24"/>
          <w:u w:val="single"/>
        </w:rPr>
        <w:t>as of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201</w:t>
      </w:r>
      <w:r w:rsidR="003268CF">
        <w:rPr>
          <w:rFonts w:ascii="Arial" w:eastAsia="Arial" w:hAnsi="Arial" w:cs="Arial"/>
          <w:b/>
          <w:sz w:val="24"/>
          <w:szCs w:val="24"/>
          <w:u w:val="single"/>
        </w:rPr>
        <w:t>7 – Please do check our Fees Policy for up-to-date figures</w:t>
      </w:r>
      <w:bookmarkStart w:id="1" w:name="_GoBack"/>
      <w:bookmarkEnd w:id="1"/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proofErr w:type="gramStart"/>
      <w:r>
        <w:rPr>
          <w:rFonts w:ascii="Arial" w:eastAsia="Arial" w:hAnsi="Arial" w:cs="Arial"/>
          <w:b/>
          <w:sz w:val="24"/>
          <w:szCs w:val="24"/>
        </w:rPr>
        <w:t>3 year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olds and above</w:t>
      </w:r>
    </w:p>
    <w:tbl>
      <w:tblPr>
        <w:tblStyle w:val="a1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260"/>
        <w:gridCol w:w="1419"/>
        <w:gridCol w:w="1306"/>
        <w:gridCol w:w="1514"/>
        <w:gridCol w:w="1118"/>
        <w:gridCol w:w="1104"/>
      </w:tblGrid>
      <w:tr w:rsidR="00D16287">
        <w:trPr>
          <w:trHeight w:val="72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Day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1260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09.15-14.45</w:t>
            </w: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09.15-11.45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>09.15-12.15</w:t>
            </w:r>
          </w:p>
        </w:tc>
        <w:tc>
          <w:tcPr>
            <w:tcW w:w="1514" w:type="dxa"/>
          </w:tcPr>
          <w:p w:rsidR="00D16287" w:rsidRDefault="005F6F8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Lunch Club</w:t>
            </w:r>
          </w:p>
          <w:p w:rsidR="00D16287" w:rsidRDefault="005F6F86">
            <w:r>
              <w:rPr>
                <w:rFonts w:ascii="Arial" w:eastAsia="Arial" w:hAnsi="Arial" w:cs="Arial"/>
                <w:b/>
              </w:rPr>
              <w:t>12.15-13.15</w:t>
            </w:r>
          </w:p>
        </w:tc>
        <w:tc>
          <w:tcPr>
            <w:tcW w:w="1118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11.45-14.45</w:t>
            </w:r>
          </w:p>
        </w:tc>
        <w:tc>
          <w:tcPr>
            <w:tcW w:w="1104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12.15-14.45</w:t>
            </w:r>
          </w:p>
        </w:tc>
      </w:tr>
      <w:tr w:rsidR="00D16287">
        <w:trPr>
          <w:trHeight w:val="36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£26.40</w:t>
            </w: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51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£4.80</w:t>
            </w:r>
          </w:p>
        </w:tc>
        <w:tc>
          <w:tcPr>
            <w:tcW w:w="1118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10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</w:tr>
      <w:tr w:rsidR="00D16287">
        <w:trPr>
          <w:trHeight w:val="36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Tuesday</w:t>
            </w:r>
          </w:p>
        </w:tc>
        <w:tc>
          <w:tcPr>
            <w:tcW w:w="12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£26.40</w:t>
            </w: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51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£4.80</w:t>
            </w:r>
          </w:p>
        </w:tc>
        <w:tc>
          <w:tcPr>
            <w:tcW w:w="1118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10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</w:tr>
      <w:tr w:rsidR="00D16287">
        <w:trPr>
          <w:trHeight w:val="36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£26.40</w:t>
            </w: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51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£4.80</w:t>
            </w:r>
          </w:p>
        </w:tc>
        <w:tc>
          <w:tcPr>
            <w:tcW w:w="1118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10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</w:tr>
      <w:tr w:rsidR="00D16287">
        <w:trPr>
          <w:trHeight w:val="36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51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£4.80</w:t>
            </w:r>
          </w:p>
        </w:tc>
        <w:tc>
          <w:tcPr>
            <w:tcW w:w="1118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6287">
        <w:trPr>
          <w:trHeight w:val="380"/>
        </w:trPr>
        <w:tc>
          <w:tcPr>
            <w:tcW w:w="170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  <w:tc>
          <w:tcPr>
            <w:tcW w:w="12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£26.40</w:t>
            </w:r>
          </w:p>
        </w:tc>
        <w:tc>
          <w:tcPr>
            <w:tcW w:w="1419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  <w:tc>
          <w:tcPr>
            <w:tcW w:w="1306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514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£4.80</w:t>
            </w:r>
          </w:p>
        </w:tc>
        <w:tc>
          <w:tcPr>
            <w:tcW w:w="1118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£14.40</w:t>
            </w:r>
          </w:p>
        </w:tc>
        <w:tc>
          <w:tcPr>
            <w:tcW w:w="110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£12.00</w:t>
            </w:r>
          </w:p>
        </w:tc>
      </w:tr>
    </w:tbl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proofErr w:type="gramStart"/>
      <w:r>
        <w:rPr>
          <w:rFonts w:ascii="Arial" w:eastAsia="Arial" w:hAnsi="Arial" w:cs="Arial"/>
          <w:b/>
          <w:sz w:val="24"/>
          <w:szCs w:val="24"/>
        </w:rPr>
        <w:t>2 year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olds </w:t>
      </w:r>
    </w:p>
    <w:p w:rsidR="00D16287" w:rsidRDefault="00D16287">
      <w:pPr>
        <w:spacing w:after="0" w:line="240" w:lineRule="auto"/>
      </w:pPr>
    </w:p>
    <w:tbl>
      <w:tblPr>
        <w:tblStyle w:val="a2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1"/>
        <w:gridCol w:w="1324"/>
        <w:gridCol w:w="1491"/>
        <w:gridCol w:w="1373"/>
        <w:gridCol w:w="1591"/>
        <w:gridCol w:w="1175"/>
        <w:gridCol w:w="1160"/>
      </w:tblGrid>
      <w:tr w:rsidR="00D16287">
        <w:trPr>
          <w:trHeight w:val="72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Day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1324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09.15-14.45</w:t>
            </w: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09.15-11.45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>09.15-12.15</w:t>
            </w:r>
          </w:p>
        </w:tc>
        <w:tc>
          <w:tcPr>
            <w:tcW w:w="1591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Lunch Club</w:t>
            </w:r>
          </w:p>
          <w:p w:rsidR="00D16287" w:rsidRDefault="005F6F86">
            <w:r>
              <w:rPr>
                <w:rFonts w:ascii="Arial" w:eastAsia="Arial" w:hAnsi="Arial" w:cs="Arial"/>
                <w:b/>
                <w:sz w:val="24"/>
                <w:szCs w:val="24"/>
              </w:rPr>
              <w:t>12.15-13.00</w:t>
            </w:r>
          </w:p>
        </w:tc>
        <w:tc>
          <w:tcPr>
            <w:tcW w:w="1175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11.45-14.45</w:t>
            </w:r>
          </w:p>
        </w:tc>
        <w:tc>
          <w:tcPr>
            <w:tcW w:w="1160" w:type="dxa"/>
          </w:tcPr>
          <w:p w:rsidR="00D16287" w:rsidRDefault="005F6F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12.15-14.45</w:t>
            </w:r>
          </w:p>
        </w:tc>
      </w:tr>
      <w:tr w:rsidR="00D16287">
        <w:trPr>
          <w:trHeight w:val="36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32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£30.25</w:t>
            </w: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5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£5.50</w:t>
            </w:r>
          </w:p>
        </w:tc>
        <w:tc>
          <w:tcPr>
            <w:tcW w:w="1175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1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</w:tr>
      <w:tr w:rsidR="00D16287">
        <w:trPr>
          <w:trHeight w:val="36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2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£30.25</w:t>
            </w: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5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£5.50</w:t>
            </w:r>
          </w:p>
        </w:tc>
        <w:tc>
          <w:tcPr>
            <w:tcW w:w="1175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1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</w:tr>
      <w:tr w:rsidR="00D16287">
        <w:trPr>
          <w:trHeight w:val="36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2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£30.25</w:t>
            </w: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5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£5.50</w:t>
            </w:r>
          </w:p>
        </w:tc>
        <w:tc>
          <w:tcPr>
            <w:tcW w:w="1175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1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</w:tr>
      <w:tr w:rsidR="00D16287">
        <w:trPr>
          <w:trHeight w:val="36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24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5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£5.50</w:t>
            </w:r>
          </w:p>
        </w:tc>
        <w:tc>
          <w:tcPr>
            <w:tcW w:w="1175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:rsidR="00D16287" w:rsidRDefault="00D1628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16287">
        <w:trPr>
          <w:trHeight w:val="380"/>
        </w:trPr>
        <w:tc>
          <w:tcPr>
            <w:tcW w:w="17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  <w:tc>
          <w:tcPr>
            <w:tcW w:w="1324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£30.25</w:t>
            </w:r>
          </w:p>
        </w:tc>
        <w:tc>
          <w:tcPr>
            <w:tcW w:w="1491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  <w:tc>
          <w:tcPr>
            <w:tcW w:w="1373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591" w:type="dxa"/>
          </w:tcPr>
          <w:p w:rsidR="00D16287" w:rsidRDefault="005F6F86">
            <w:r>
              <w:rPr>
                <w:rFonts w:ascii="Arial" w:eastAsia="Arial" w:hAnsi="Arial" w:cs="Arial"/>
                <w:sz w:val="24"/>
                <w:szCs w:val="24"/>
              </w:rPr>
              <w:t>£5.50</w:t>
            </w:r>
          </w:p>
        </w:tc>
        <w:tc>
          <w:tcPr>
            <w:tcW w:w="1175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£16.50</w:t>
            </w:r>
          </w:p>
        </w:tc>
        <w:tc>
          <w:tcPr>
            <w:tcW w:w="1160" w:type="dxa"/>
          </w:tcPr>
          <w:p w:rsidR="00D16287" w:rsidRDefault="005F6F8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£13.75</w:t>
            </w:r>
          </w:p>
        </w:tc>
      </w:tr>
    </w:tbl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Pre-School Fees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Fees will be invoiced each month in advance. Fees should be paid by the 10th of each month following receipt of invoice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(Every child over 3 is entitled to 15 hours free government funding per week for 38 weeks).</w:t>
      </w: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You will be given an invoice a few week</w:t>
      </w:r>
      <w:r>
        <w:rPr>
          <w:rFonts w:ascii="Arial" w:eastAsia="Arial" w:hAnsi="Arial" w:cs="Arial"/>
        </w:rPr>
        <w:t xml:space="preserve">s following the start of each term which must be paid within 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 xml:space="preserve"> week. </w:t>
      </w:r>
      <w:r>
        <w:rPr>
          <w:rFonts w:ascii="Arial" w:eastAsia="Arial" w:hAnsi="Arial" w:cs="Arial"/>
          <w:i/>
          <w:color w:val="FF0000"/>
        </w:rPr>
        <w:t xml:space="preserve">It is pre-school policy that we will not accept a child to school if the fees are outstanding. </w:t>
      </w:r>
      <w:r>
        <w:rPr>
          <w:rFonts w:ascii="Arial" w:eastAsia="Arial" w:hAnsi="Arial" w:cs="Arial"/>
        </w:rPr>
        <w:t>If you have any problems with payment, please speak to the pre-school Supervisor and she w</w:t>
      </w:r>
      <w:r>
        <w:rPr>
          <w:rFonts w:ascii="Arial" w:eastAsia="Arial" w:hAnsi="Arial" w:cs="Arial"/>
        </w:rPr>
        <w:t xml:space="preserve">ill direct you to a member of the committee who will discuss the issue with you and try to arrange a convenient agreement. Special arrangements can be made at the discretion of the Chairperson Liane </w:t>
      </w:r>
      <w:proofErr w:type="spellStart"/>
      <w:r>
        <w:rPr>
          <w:rFonts w:ascii="Arial" w:eastAsia="Arial" w:hAnsi="Arial" w:cs="Arial"/>
        </w:rPr>
        <w:t>Frydland</w:t>
      </w:r>
      <w:proofErr w:type="spellEnd"/>
      <w:r>
        <w:rPr>
          <w:rFonts w:ascii="Arial" w:eastAsia="Arial" w:hAnsi="Arial" w:cs="Arial"/>
        </w:rPr>
        <w:t xml:space="preserve"> or Ellen Thomason the Treasurer.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Lunch Club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</w:rPr>
        <w:t>you would like your child to stay for lunch club, please provide a healthy packed lunch (further details can be found within our Food and Drink policy). We provide milk and water during the day school sessions.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If you do not wish your child to stay for lun</w:t>
      </w:r>
      <w:r>
        <w:rPr>
          <w:rFonts w:ascii="Arial" w:eastAsia="Arial" w:hAnsi="Arial" w:cs="Arial"/>
        </w:rPr>
        <w:t xml:space="preserve">ch club, please drop your child off at 09.15am and collect at 12.15pm. We would ask that you enter the pre-school by the crèche area (where the children’s coats are) and exit by the door next to the kitchen.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Allocation of Sessions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Once we have advised yo</w:t>
      </w:r>
      <w:r>
        <w:rPr>
          <w:rFonts w:ascii="Arial" w:eastAsia="Arial" w:hAnsi="Arial" w:cs="Arial"/>
        </w:rPr>
        <w:t xml:space="preserve">u that there is space at our pre-school for your child and that you wish to take the place, you will be encouraged to make at least two preliminary visits with them. The pre-school Supervisor will contact you to </w:t>
      </w:r>
      <w:proofErr w:type="gramStart"/>
      <w:r>
        <w:rPr>
          <w:rFonts w:ascii="Arial" w:eastAsia="Arial" w:hAnsi="Arial" w:cs="Arial"/>
        </w:rPr>
        <w:t>make arrangements</w:t>
      </w:r>
      <w:proofErr w:type="gramEnd"/>
      <w:r>
        <w:rPr>
          <w:rFonts w:ascii="Arial" w:eastAsia="Arial" w:hAnsi="Arial" w:cs="Arial"/>
        </w:rPr>
        <w:t xml:space="preserve"> with you for convenient vi</w:t>
      </w:r>
      <w:r>
        <w:rPr>
          <w:rFonts w:ascii="Arial" w:eastAsia="Arial" w:hAnsi="Arial" w:cs="Arial"/>
        </w:rPr>
        <w:t>sits. If your child is under 3 years, these visits will be discussed with parents to reach an agreement on the child’s readiness to start pre-school. We also offer an optional home visit which is carried out by the supervisor and key worker. This is so tha</w:t>
      </w:r>
      <w:r>
        <w:rPr>
          <w:rFonts w:ascii="Arial" w:eastAsia="Arial" w:hAnsi="Arial" w:cs="Arial"/>
        </w:rPr>
        <w:t>t your child can meet the staff and to help your child settle into the pre-school.</w:t>
      </w: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Sickness and In Term Holidays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If your child is unwell, please notify the pre-school as soon as possible. If you are taking your child on holiday during the school term, please notify us in advance.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Holiday Leave taken by your child during the school term is not refundable.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Sickness Lea</w:t>
      </w:r>
      <w:r>
        <w:rPr>
          <w:rFonts w:ascii="Arial" w:eastAsia="Arial" w:hAnsi="Arial" w:cs="Arial"/>
        </w:rPr>
        <w:t>ve taken by your child during the school term is not refundable.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We would also ask that if your child/children have suffered with diarrhoea and/or vomiting they should stay away from the pre-school for at least 48 hours after the last event.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Government Funding for Children from Two Years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Government funding can be obtai</w:t>
      </w:r>
      <w:r>
        <w:rPr>
          <w:rFonts w:ascii="Arial" w:eastAsia="Arial" w:hAnsi="Arial" w:cs="Arial"/>
        </w:rPr>
        <w:t>ned once your child turns two, if certain criteria are met. Please ask our pre-school manager for further details.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After your child has turned three, you will be eligible for Government Funding, this commences at the start of the next full term e.g. if yo</w:t>
      </w:r>
      <w:r>
        <w:rPr>
          <w:rFonts w:ascii="Arial" w:eastAsia="Arial" w:hAnsi="Arial" w:cs="Arial"/>
        </w:rPr>
        <w:t>ur child is born on the 2nd January, your child will be eligible for funding at the start of the Spring Term after Easter.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This means that your child will be given up to a maximum of 15 hours per week. If your child attends alternative childcare that supp</w:t>
      </w:r>
      <w:r>
        <w:rPr>
          <w:rFonts w:ascii="Arial" w:eastAsia="Arial" w:hAnsi="Arial" w:cs="Arial"/>
        </w:rPr>
        <w:t>orts this funding such as another pre-school or nursery, you may only claim 15 hours in total.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Visiting the Pre-School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If you wish to make a visit to see the pre-school in action with or without your child, please contact us on 07923 477904 and we can arr</w:t>
      </w:r>
      <w:r>
        <w:rPr>
          <w:rFonts w:ascii="Arial" w:eastAsia="Arial" w:hAnsi="Arial" w:cs="Arial"/>
        </w:rPr>
        <w:t>ange a convenient time, or else please feel free to drop in at any time whilst the school is in session.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Special Information regarding your child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We try to ensure that all children are given the best start in life. If your child has special needs, allergi</w:t>
      </w:r>
      <w:r>
        <w:rPr>
          <w:rFonts w:ascii="Arial" w:eastAsia="Arial" w:hAnsi="Arial" w:cs="Arial"/>
        </w:rPr>
        <w:t>es, educational or other special requirements (i.e. serious illness, stress at home etc), please contact the pre-school Supervisor (Sue Way) to ensure that your needs are catered for and remain in contact with the pre-school should it be necessary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Equal O</w:t>
      </w:r>
      <w:r>
        <w:rPr>
          <w:rFonts w:ascii="Arial" w:eastAsia="Arial" w:hAnsi="Arial" w:cs="Arial"/>
          <w:b/>
          <w:sz w:val="24"/>
          <w:szCs w:val="24"/>
        </w:rPr>
        <w:t>pportunities</w:t>
      </w:r>
    </w:p>
    <w:p w:rsidR="00D16287" w:rsidRDefault="005F6F86">
      <w:pPr>
        <w:spacing w:after="0" w:line="240" w:lineRule="auto"/>
      </w:pPr>
      <w:proofErr w:type="spellStart"/>
      <w:r>
        <w:rPr>
          <w:rFonts w:ascii="Arial" w:eastAsia="Arial" w:hAnsi="Arial" w:cs="Arial"/>
        </w:rPr>
        <w:t>Ancells</w:t>
      </w:r>
      <w:proofErr w:type="spellEnd"/>
      <w:r>
        <w:rPr>
          <w:rFonts w:ascii="Arial" w:eastAsia="Arial" w:hAnsi="Arial" w:cs="Arial"/>
        </w:rPr>
        <w:t xml:space="preserve"> Farm Community Pre-School is an Equal Opportunities Employer and all staff members are required to abide by the pre-schools Equal Opportunities Policy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Policies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All Policies are available to view within the setting. Please ask the pre-</w:t>
      </w:r>
      <w:r>
        <w:rPr>
          <w:rFonts w:ascii="Arial" w:eastAsia="Arial" w:hAnsi="Arial" w:cs="Arial"/>
        </w:rPr>
        <w:t xml:space="preserve">school Supervisor if you wish to view them. </w:t>
      </w:r>
      <w:proofErr w:type="gramStart"/>
      <w:r>
        <w:rPr>
          <w:rFonts w:ascii="Arial" w:eastAsia="Arial" w:hAnsi="Arial" w:cs="Arial"/>
        </w:rPr>
        <w:t>All of</w:t>
      </w:r>
      <w:proofErr w:type="gramEnd"/>
      <w:r>
        <w:rPr>
          <w:rFonts w:ascii="Arial" w:eastAsia="Arial" w:hAnsi="Arial" w:cs="Arial"/>
        </w:rPr>
        <w:t xml:space="preserve"> the policies are also available to view on the website.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Operational Plan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Please read our Operational Plan available within the setting which provides more in-depth details of </w:t>
      </w:r>
      <w:proofErr w:type="spellStart"/>
      <w:r>
        <w:rPr>
          <w:rFonts w:ascii="Arial" w:eastAsia="Arial" w:hAnsi="Arial" w:cs="Arial"/>
        </w:rPr>
        <w:t>Ancells</w:t>
      </w:r>
      <w:proofErr w:type="spellEnd"/>
      <w:r>
        <w:rPr>
          <w:rFonts w:ascii="Arial" w:eastAsia="Arial" w:hAnsi="Arial" w:cs="Arial"/>
        </w:rPr>
        <w:t xml:space="preserve"> Pre-School</w:t>
      </w: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Registration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If you wish to register your child, please contact us either via telephone 07923 477904 or email </w:t>
      </w:r>
      <w:hyperlink r:id="rId7">
        <w:r>
          <w:rPr>
            <w:rFonts w:ascii="Arial" w:eastAsia="Arial" w:hAnsi="Arial" w:cs="Arial"/>
            <w:color w:val="0000FF"/>
            <w:u w:val="single"/>
          </w:rPr>
          <w:t>info@ancellspreschool.co.uk</w:t>
        </w:r>
      </w:hyperlink>
      <w:r>
        <w:rPr>
          <w:rFonts w:ascii="Arial" w:eastAsia="Arial" w:hAnsi="Arial" w:cs="Arial"/>
        </w:rPr>
        <w:t xml:space="preserve"> or come in to the school. We will require that you complete the following documents: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1. Application Form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2. Registration Form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3. Parents View Form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If you decide </w:t>
      </w:r>
      <w:proofErr w:type="gramStart"/>
      <w:r>
        <w:rPr>
          <w:rFonts w:ascii="Arial" w:eastAsia="Arial" w:hAnsi="Arial" w:cs="Arial"/>
        </w:rPr>
        <w:t>at a later date</w:t>
      </w:r>
      <w:proofErr w:type="gramEnd"/>
      <w:r>
        <w:rPr>
          <w:rFonts w:ascii="Arial" w:eastAsia="Arial" w:hAnsi="Arial" w:cs="Arial"/>
        </w:rPr>
        <w:t xml:space="preserve"> that you no </w:t>
      </w:r>
      <w:r>
        <w:rPr>
          <w:rFonts w:ascii="Arial" w:eastAsia="Arial" w:hAnsi="Arial" w:cs="Arial"/>
        </w:rPr>
        <w:t>longer require the position you have requested, please do notify us as soon as possible. We usually have a long waiting list for places and would like to be able to offer this place to someone else as soon as possible.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Please also note that we require a n</w:t>
      </w:r>
      <w:r>
        <w:rPr>
          <w:rFonts w:ascii="Arial" w:eastAsia="Arial" w:hAnsi="Arial" w:cs="Arial"/>
        </w:rPr>
        <w:t>on-refundable administration fee of £25 per child for children that are not in receipt of government funding. This is included within the first invoice and will cover the initial cost of your child starting.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Name Tags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When your child starts with us, pleas</w:t>
      </w:r>
      <w:r>
        <w:rPr>
          <w:rFonts w:ascii="Arial" w:eastAsia="Arial" w:hAnsi="Arial" w:cs="Arial"/>
        </w:rPr>
        <w:t xml:space="preserve">e ensure that </w:t>
      </w:r>
      <w:r>
        <w:rPr>
          <w:rFonts w:ascii="Arial" w:eastAsia="Arial" w:hAnsi="Arial" w:cs="Arial"/>
          <w:b/>
          <w:u w:val="single"/>
        </w:rPr>
        <w:t>ALL</w:t>
      </w:r>
      <w:r>
        <w:rPr>
          <w:rFonts w:ascii="Arial" w:eastAsia="Arial" w:hAnsi="Arial" w:cs="Arial"/>
        </w:rPr>
        <w:t xml:space="preserve"> clothing, shoes, wellington boots, waterproofs, lunch boxes, drinks bottles etc are named</w:t>
      </w:r>
      <w:r>
        <w:rPr>
          <w:rFonts w:ascii="Arial" w:eastAsia="Arial" w:hAnsi="Arial" w:cs="Arial"/>
          <w:color w:val="FF0000"/>
        </w:rPr>
        <w:t>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Uniform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At present we don’t require all children wear a uniform however we do encourage it and would like to suggest that to save damage by paint </w:t>
      </w:r>
      <w:r>
        <w:rPr>
          <w:rFonts w:ascii="Arial" w:eastAsia="Arial" w:hAnsi="Arial" w:cs="Arial"/>
        </w:rPr>
        <w:t>and other products used by your child at pre-school that you purchase our branded T-shirts and/or Sweatshirts with the pre-school logo.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A uniform promotes a sense of </w:t>
      </w:r>
      <w:proofErr w:type="spellStart"/>
      <w:r>
        <w:rPr>
          <w:rFonts w:ascii="Arial" w:eastAsia="Arial" w:hAnsi="Arial" w:cs="Arial"/>
        </w:rPr>
        <w:t>well being</w:t>
      </w:r>
      <w:proofErr w:type="spellEnd"/>
      <w:r>
        <w:rPr>
          <w:rFonts w:ascii="Arial" w:eastAsia="Arial" w:hAnsi="Arial" w:cs="Arial"/>
        </w:rPr>
        <w:t xml:space="preserve"> and belonging to most children and can aid the settling in process but is not </w:t>
      </w:r>
      <w:r>
        <w:rPr>
          <w:rFonts w:ascii="Arial" w:eastAsia="Arial" w:hAnsi="Arial" w:cs="Arial"/>
        </w:rPr>
        <w:t xml:space="preserve">yet compulsory.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Uniform is available for sale within the setting, please ask any member of staff for details.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Bags &amp; Drinks / Snacks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Staff will explain more in detail once your child is due to start, however children bring their own bags to school containing wellingtons, gloves, etc. and a coat hook is provided to store bags and coats. Please provide spare clothes in case of any spillag</w:t>
      </w:r>
      <w:r>
        <w:rPr>
          <w:rFonts w:ascii="Arial" w:eastAsia="Arial" w:hAnsi="Arial" w:cs="Arial"/>
        </w:rPr>
        <w:t xml:space="preserve">es or incidents and if your child attends school wearing wellington boots, please provide indoor shoes. If your child is not toilet </w:t>
      </w:r>
      <w:proofErr w:type="gramStart"/>
      <w:r>
        <w:rPr>
          <w:rFonts w:ascii="Arial" w:eastAsia="Arial" w:hAnsi="Arial" w:cs="Arial"/>
        </w:rPr>
        <w:t>trained</w:t>
      </w:r>
      <w:proofErr w:type="gramEnd"/>
      <w:r>
        <w:rPr>
          <w:rFonts w:ascii="Arial" w:eastAsia="Arial" w:hAnsi="Arial" w:cs="Arial"/>
        </w:rPr>
        <w:t xml:space="preserve"> please include spare nappies / pull-ups and wipes. Waterproofs are provided by the setting for outdoor play and rema</w:t>
      </w:r>
      <w:r>
        <w:rPr>
          <w:rFonts w:ascii="Arial" w:eastAsia="Arial" w:hAnsi="Arial" w:cs="Arial"/>
        </w:rPr>
        <w:t>in within the setting.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Children have snack time and we recommend fruit or carbohydrates such as bread sticks, crackers, pitta bread to be brought in each session for your child. There is a fruit bowl allocated by the exit door for fruit to be placed in. All other snacks can be l</w:t>
      </w:r>
      <w:r>
        <w:rPr>
          <w:rFonts w:ascii="Arial" w:eastAsia="Arial" w:hAnsi="Arial" w:cs="Arial"/>
        </w:rPr>
        <w:t>eft on the table next to the fruit bowl, thank you in advance for this. Please also provide a water bottle labelled with your child’s name and filled with water so that it can be available throughout the session for your child to drink. Please place this i</w:t>
      </w:r>
      <w:r>
        <w:rPr>
          <w:rFonts w:ascii="Arial" w:eastAsia="Arial" w:hAnsi="Arial" w:cs="Arial"/>
        </w:rPr>
        <w:t>n the drinks tray which can be located on top of the children’s drawers in the crèche area (where the children hang their coats.)</w:t>
      </w: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Committee Membership</w:t>
      </w:r>
    </w:p>
    <w:p w:rsidR="00D16287" w:rsidRDefault="005F6F86">
      <w:pPr>
        <w:spacing w:after="0" w:line="240" w:lineRule="auto"/>
      </w:pPr>
      <w:proofErr w:type="spellStart"/>
      <w:r>
        <w:rPr>
          <w:rFonts w:ascii="Arial" w:eastAsia="Arial" w:hAnsi="Arial" w:cs="Arial"/>
        </w:rPr>
        <w:t>Ancells</w:t>
      </w:r>
      <w:proofErr w:type="spellEnd"/>
      <w:r>
        <w:rPr>
          <w:rFonts w:ascii="Arial" w:eastAsia="Arial" w:hAnsi="Arial" w:cs="Arial"/>
        </w:rPr>
        <w:t xml:space="preserve"> Farm Community Pre-School has a voluntary committee that sees to the general running of the b</w:t>
      </w:r>
      <w:r>
        <w:rPr>
          <w:rFonts w:ascii="Arial" w:eastAsia="Arial" w:hAnsi="Arial" w:cs="Arial"/>
        </w:rPr>
        <w:t>usiness side of our pre-school, this is staffed by parents of the children who attend the pre-school and is entirely voluntary. We do ask all parents to take into consideration that the pre-school wishes all parents/guardians to be as involved with the pre</w:t>
      </w:r>
      <w:r>
        <w:rPr>
          <w:rFonts w:ascii="Arial" w:eastAsia="Arial" w:hAnsi="Arial" w:cs="Arial"/>
        </w:rPr>
        <w:t xml:space="preserve">-school as possible with visits and </w:t>
      </w:r>
      <w:proofErr w:type="gramStart"/>
      <w:r>
        <w:rPr>
          <w:rFonts w:ascii="Arial" w:eastAsia="Arial" w:hAnsi="Arial" w:cs="Arial"/>
        </w:rPr>
        <w:t>helping out</w:t>
      </w:r>
      <w:proofErr w:type="gramEnd"/>
      <w:r>
        <w:rPr>
          <w:rFonts w:ascii="Arial" w:eastAsia="Arial" w:hAnsi="Arial" w:cs="Arial"/>
        </w:rPr>
        <w:t xml:space="preserve">, however, without the committee volunteers we </w:t>
      </w:r>
      <w:proofErr w:type="spellStart"/>
      <w:r>
        <w:rPr>
          <w:rFonts w:ascii="Arial" w:eastAsia="Arial" w:hAnsi="Arial" w:cs="Arial"/>
          <w:b/>
        </w:rPr>
        <w:t>can not</w:t>
      </w:r>
      <w:proofErr w:type="spellEnd"/>
      <w:r>
        <w:rPr>
          <w:rFonts w:ascii="Arial" w:eastAsia="Arial" w:hAnsi="Arial" w:cs="Arial"/>
        </w:rPr>
        <w:t xml:space="preserve"> open the pre-school. If you feel you may be able to offer some spare time each week to work at home and attend occasional meetings, please do let us know.</w:t>
      </w:r>
      <w:r>
        <w:rPr>
          <w:rFonts w:ascii="Arial" w:eastAsia="Arial" w:hAnsi="Arial" w:cs="Arial"/>
        </w:rPr>
        <w:t xml:space="preserve"> Details can be supplied on request. The positions that we have on the committee are: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• Chair Person –Vicky Elliott</w:t>
      </w:r>
    </w:p>
    <w:p w:rsidR="00D16287" w:rsidRDefault="005F6F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Treasurer – Joanne Serrano</w:t>
      </w:r>
    </w:p>
    <w:p w:rsidR="00D16287" w:rsidRDefault="005F6F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Wages - Holly Pawley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• Secretary – Jennie Rodwell/ Vickie Rich 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• General Members – Maddie Watts, Victoria C</w:t>
      </w:r>
      <w:r>
        <w:rPr>
          <w:rFonts w:ascii="Arial" w:eastAsia="Arial" w:hAnsi="Arial" w:cs="Arial"/>
        </w:rPr>
        <w:t xml:space="preserve">larke </w:t>
      </w: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We look forward to seeing you and your children at </w:t>
      </w:r>
      <w:proofErr w:type="spellStart"/>
      <w:r>
        <w:rPr>
          <w:rFonts w:ascii="Arial" w:eastAsia="Arial" w:hAnsi="Arial" w:cs="Arial"/>
        </w:rPr>
        <w:t>Ancells</w:t>
      </w:r>
      <w:proofErr w:type="spellEnd"/>
      <w:r>
        <w:rPr>
          <w:rFonts w:ascii="Arial" w:eastAsia="Arial" w:hAnsi="Arial" w:cs="Arial"/>
        </w:rPr>
        <w:t xml:space="preserve"> Farm Community Pre-School. Please visit our website for further details or contact the pre-school Supervisor, Sue Way. 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 xml:space="preserve">If you wish to speak to a member of the </w:t>
      </w:r>
      <w:proofErr w:type="gramStart"/>
      <w:r>
        <w:rPr>
          <w:rFonts w:ascii="Arial" w:eastAsia="Arial" w:hAnsi="Arial" w:cs="Arial"/>
        </w:rPr>
        <w:t>Committee</w:t>
      </w:r>
      <w:proofErr w:type="gramEnd"/>
      <w:r>
        <w:rPr>
          <w:rFonts w:ascii="Arial" w:eastAsia="Arial" w:hAnsi="Arial" w:cs="Arial"/>
        </w:rPr>
        <w:t xml:space="preserve"> please leave your d</w:t>
      </w:r>
      <w:r>
        <w:rPr>
          <w:rFonts w:ascii="Arial" w:eastAsia="Arial" w:hAnsi="Arial" w:cs="Arial"/>
        </w:rPr>
        <w:t>etails with Sue Way at the setting and we will be in contact as soon as possible.</w:t>
      </w: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D16287">
      <w:pPr>
        <w:spacing w:after="0" w:line="240" w:lineRule="auto"/>
      </w:pPr>
    </w:p>
    <w:p w:rsidR="00D16287" w:rsidRDefault="005F6F86">
      <w:pPr>
        <w:spacing w:after="0" w:line="240" w:lineRule="auto"/>
      </w:pPr>
      <w:proofErr w:type="spellStart"/>
      <w:r>
        <w:rPr>
          <w:rFonts w:ascii="Arial" w:eastAsia="Arial" w:hAnsi="Arial" w:cs="Arial"/>
        </w:rPr>
        <w:t>Ancells</w:t>
      </w:r>
      <w:proofErr w:type="spellEnd"/>
      <w:r>
        <w:rPr>
          <w:rFonts w:ascii="Arial" w:eastAsia="Arial" w:hAnsi="Arial" w:cs="Arial"/>
        </w:rPr>
        <w:t xml:space="preserve"> Farm Community Pre-School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1 Falkner's Close, Fleet, Hants, GU51 2XF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Telephone: 07923 477904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Email: info@ancellspreschool.co.uk</w:t>
      </w:r>
    </w:p>
    <w:p w:rsidR="00D16287" w:rsidRDefault="005F6F86">
      <w:pPr>
        <w:spacing w:after="0" w:line="240" w:lineRule="auto"/>
      </w:pPr>
      <w:r>
        <w:rPr>
          <w:rFonts w:ascii="Arial" w:eastAsia="Arial" w:hAnsi="Arial" w:cs="Arial"/>
        </w:rPr>
        <w:t>Website: www.ancellspreschool.co.uk</w:t>
      </w:r>
    </w:p>
    <w:p w:rsidR="00D16287" w:rsidRDefault="00D16287"/>
    <w:sectPr w:rsidR="00D162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86" w:rsidRDefault="005F6F86">
      <w:pPr>
        <w:spacing w:after="0" w:line="240" w:lineRule="auto"/>
      </w:pPr>
      <w:r>
        <w:separator/>
      </w:r>
    </w:p>
  </w:endnote>
  <w:endnote w:type="continuationSeparator" w:id="0">
    <w:p w:rsidR="005F6F86" w:rsidRDefault="005F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86" w:rsidRDefault="005F6F86">
      <w:pPr>
        <w:spacing w:after="0" w:line="240" w:lineRule="auto"/>
      </w:pPr>
      <w:r>
        <w:separator/>
      </w:r>
    </w:p>
  </w:footnote>
  <w:footnote w:type="continuationSeparator" w:id="0">
    <w:p w:rsidR="005F6F86" w:rsidRDefault="005F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87" w:rsidRDefault="005F6F86">
    <w:pPr>
      <w:tabs>
        <w:tab w:val="center" w:pos="4513"/>
        <w:tab w:val="right" w:pos="9026"/>
      </w:tabs>
      <w:spacing w:after="0" w:line="240" w:lineRule="auto"/>
      <w:jc w:val="right"/>
    </w:pPr>
    <w:r>
      <w:t xml:space="preserve">Page </w:t>
    </w:r>
    <w:r>
      <w:fldChar w:fldCharType="begin"/>
    </w:r>
    <w:r>
      <w:instrText>PAGE</w:instrText>
    </w:r>
    <w:r w:rsidR="003268CF">
      <w:fldChar w:fldCharType="separate"/>
    </w:r>
    <w:r w:rsidR="003268C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3268CF">
      <w:fldChar w:fldCharType="separate"/>
    </w:r>
    <w:r w:rsidR="003268CF">
      <w:rPr>
        <w:noProof/>
      </w:rPr>
      <w:t>1</w:t>
    </w:r>
    <w:r>
      <w:fldChar w:fldCharType="end"/>
    </w:r>
  </w:p>
  <w:p w:rsidR="00D16287" w:rsidRDefault="00D16287">
    <w:pP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287"/>
    <w:rsid w:val="003268CF"/>
    <w:rsid w:val="005F6F86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8D8D"/>
  <w15:docId w15:val="{9BF5D783-7483-4122-B82B-E612FAB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ncellspre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Vickie Rich</cp:lastModifiedBy>
  <cp:revision>2</cp:revision>
  <dcterms:created xsi:type="dcterms:W3CDTF">2019-02-26T20:20:00Z</dcterms:created>
  <dcterms:modified xsi:type="dcterms:W3CDTF">2019-02-26T20:21:00Z</dcterms:modified>
</cp:coreProperties>
</file>